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4" w:rsidRPr="00A115C2" w:rsidRDefault="00CA59A2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 w:rsidRPr="00A115C2">
        <w:rPr>
          <w:rFonts w:ascii="Times New Roman" w:eastAsia="Times New Roman" w:hAnsi="Times New Roman" w:cs="Times New Roman"/>
          <w:color w:val="00000A"/>
          <w:highlight w:val="white"/>
        </w:rPr>
        <w:t xml:space="preserve">PRZEDMIOTOWY SPOSÓB OCENIANIA Z JĘZYKA </w:t>
      </w:r>
      <w:r w:rsidR="00A115C2">
        <w:rPr>
          <w:rFonts w:ascii="Times New Roman" w:eastAsia="Times New Roman" w:hAnsi="Times New Roman" w:cs="Times New Roman"/>
          <w:color w:val="00000A"/>
          <w:highlight w:val="white"/>
        </w:rPr>
        <w:t>ANGIELSKIEGO</w:t>
      </w:r>
    </w:p>
    <w:p w:rsidR="009F23D4" w:rsidRPr="00A115C2" w:rsidRDefault="00CA59A2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 w:rsidRPr="00A115C2">
        <w:rPr>
          <w:rFonts w:ascii="Times New Roman" w:eastAsia="Times New Roman" w:hAnsi="Times New Roman" w:cs="Times New Roman"/>
          <w:color w:val="00000A"/>
          <w:highlight w:val="white"/>
        </w:rPr>
        <w:t>DLA KLAS IV-VI</w:t>
      </w:r>
    </w:p>
    <w:p w:rsidR="009F23D4" w:rsidRDefault="00F7606B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SZKOŁA PODSTAWOWA</w:t>
      </w:r>
      <w:r w:rsidR="00CA59A2" w:rsidRPr="00A115C2">
        <w:rPr>
          <w:rFonts w:ascii="Times New Roman" w:eastAsia="Times New Roman" w:hAnsi="Times New Roman" w:cs="Times New Roman"/>
          <w:color w:val="00000A"/>
          <w:highlight w:val="white"/>
        </w:rPr>
        <w:t xml:space="preserve"> W JÓZEFOWIE</w:t>
      </w:r>
    </w:p>
    <w:p w:rsidR="00390358" w:rsidRPr="00A115C2" w:rsidRDefault="00390358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CA59A2">
      <w:p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I. </w:t>
      </w:r>
      <w:r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ZASADY OGÓLNE</w:t>
      </w:r>
    </w:p>
    <w:p w:rsidR="009F23D4" w:rsidRDefault="00CA59A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Cele PSO</w:t>
      </w:r>
      <w:r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sprawdzenie poziomu opanowania wiedzy i zdobytych umiejętności</w:t>
      </w:r>
    </w:p>
    <w:p w:rsidR="009F23D4" w:rsidRDefault="00CA59A2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mobilizowanie ucznia do dalszej pracy</w:t>
      </w:r>
    </w:p>
    <w:p w:rsidR="009F23D4" w:rsidRDefault="00CA59A2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stymulowanie rozwoju ucznia</w:t>
      </w:r>
    </w:p>
    <w:p w:rsidR="009F23D4" w:rsidRDefault="00CA59A2">
      <w:pPr>
        <w:numPr>
          <w:ilvl w:val="0"/>
          <w:numId w:val="2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diagnozowanie poziomu nauczania</w:t>
      </w:r>
    </w:p>
    <w:p w:rsidR="009F23D4" w:rsidRDefault="009F23D4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390358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I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 xml:space="preserve">I. </w:t>
      </w:r>
      <w:r w:rsidR="00CA59A2"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SPRAWDZANIE I OCENIANIE OSIĄGNIĘĆ UCZNIÓW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 xml:space="preserve"> </w:t>
      </w:r>
    </w:p>
    <w:p w:rsidR="009F23D4" w:rsidRDefault="00CA59A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1.   </w:t>
      </w:r>
      <w:r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Formy aktywności</w:t>
      </w:r>
      <w:r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odpowiedzi ustne,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samodzielna praca na lekcji,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praca domowa,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udział w konkursach,</w:t>
      </w:r>
    </w:p>
    <w:p w:rsidR="009F23D4" w:rsidRDefault="00390358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wypowiedzi pisemne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,</w:t>
      </w:r>
    </w:p>
    <w:p w:rsidR="009F23D4" w:rsidRDefault="00390358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dyktanda,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sprawdziany,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kartkówki,</w:t>
      </w:r>
    </w:p>
    <w:p w:rsidR="009F23D4" w:rsidRDefault="00CA59A2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przygotowanie do lekcji,</w:t>
      </w:r>
    </w:p>
    <w:p w:rsidR="00390358" w:rsidRDefault="00390358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prezentacje multimedialne,</w:t>
      </w:r>
    </w:p>
    <w:p w:rsidR="00390358" w:rsidRDefault="00390358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prezentacja dialogów,</w:t>
      </w:r>
    </w:p>
    <w:p w:rsidR="00390358" w:rsidRDefault="00390358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aktywność na szkolnej platformie e-learningowej,</w:t>
      </w:r>
    </w:p>
    <w:p w:rsidR="00580EE7" w:rsidRDefault="00580EE7">
      <w:pPr>
        <w:numPr>
          <w:ilvl w:val="0"/>
          <w:numId w:val="4"/>
        </w:num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aktywność na stronie </w:t>
      </w:r>
      <w:proofErr w:type="spellStart"/>
      <w:r>
        <w:rPr>
          <w:rFonts w:ascii="Times New Roman" w:eastAsia="Times New Roman" w:hAnsi="Times New Roman" w:cs="Times New Roman"/>
          <w:color w:val="00000A"/>
          <w:highlight w:val="white"/>
        </w:rPr>
        <w:t>Instaling</w:t>
      </w:r>
      <w:proofErr w:type="spellEnd"/>
      <w:r>
        <w:rPr>
          <w:rFonts w:ascii="Times New Roman" w:eastAsia="Times New Roman" w:hAnsi="Times New Roman" w:cs="Times New Roman"/>
          <w:color w:val="00000A"/>
          <w:highlight w:val="white"/>
        </w:rPr>
        <w:t>.</w:t>
      </w:r>
    </w:p>
    <w:p w:rsidR="009F23D4" w:rsidRDefault="009F23D4">
      <w:p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CA59A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Określenie pojęć zgodne z WSO</w:t>
      </w:r>
      <w:r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a) wypowiedzi pisemne:</w:t>
      </w:r>
    </w:p>
    <w:p w:rsidR="00390358" w:rsidRDefault="00390358" w:rsidP="00390358">
      <w:pPr>
        <w:numPr>
          <w:ilvl w:val="0"/>
          <w:numId w:val="5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390358">
        <w:rPr>
          <w:rFonts w:ascii="Times New Roman" w:eastAsia="Times New Roman" w:hAnsi="Times New Roman" w:cs="Times New Roman"/>
          <w:color w:val="00000A"/>
          <w:highlight w:val="white"/>
        </w:rPr>
        <w:t>krótkie wypowiedzi pisemne takie jak: mail, pocztówka z wakacji</w:t>
      </w:r>
      <w:r>
        <w:rPr>
          <w:rFonts w:ascii="Times New Roman" w:eastAsia="Times New Roman" w:hAnsi="Times New Roman" w:cs="Times New Roman"/>
          <w:color w:val="00000A"/>
          <w:highlight w:val="white"/>
        </w:rPr>
        <w:t>, wpis na bloga, opis postaci,</w:t>
      </w:r>
    </w:p>
    <w:p w:rsidR="009F23D4" w:rsidRPr="00390358" w:rsidRDefault="00CA59A2" w:rsidP="00390358">
      <w:pPr>
        <w:numPr>
          <w:ilvl w:val="0"/>
          <w:numId w:val="5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390358">
        <w:rPr>
          <w:rFonts w:ascii="Times New Roman" w:eastAsia="Times New Roman" w:hAnsi="Times New Roman" w:cs="Times New Roman"/>
          <w:color w:val="00000A"/>
          <w:highlight w:val="white"/>
        </w:rPr>
        <w:t>sprawdzian – obejmuje materiał z danego działu, zapowiedziany z tygodniowym wyprzedzeniem,</w:t>
      </w:r>
    </w:p>
    <w:p w:rsidR="009F23D4" w:rsidRDefault="00CA59A2">
      <w:pPr>
        <w:numPr>
          <w:ilvl w:val="0"/>
          <w:numId w:val="5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kartkówka – </w:t>
      </w:r>
      <w:r w:rsidR="00390358">
        <w:rPr>
          <w:rFonts w:ascii="Times New Roman" w:eastAsia="Times New Roman" w:hAnsi="Times New Roman" w:cs="Times New Roman"/>
          <w:color w:val="00000A"/>
          <w:highlight w:val="white"/>
        </w:rPr>
        <w:t>zapowiedziana</w:t>
      </w:r>
      <w:r w:rsidR="00F7606B">
        <w:rPr>
          <w:rFonts w:ascii="Times New Roman" w:eastAsia="Times New Roman" w:hAnsi="Times New Roman" w:cs="Times New Roman"/>
          <w:color w:val="00000A"/>
          <w:highlight w:val="white"/>
        </w:rPr>
        <w:t>,</w:t>
      </w:r>
      <w:r w:rsidR="00390358">
        <w:rPr>
          <w:rFonts w:ascii="Times New Roman" w:eastAsia="Times New Roman" w:hAnsi="Times New Roman" w:cs="Times New Roman"/>
          <w:color w:val="00000A"/>
          <w:highlight w:val="white"/>
        </w:rPr>
        <w:t xml:space="preserve"> obejmująca materiał gramatyczny</w:t>
      </w:r>
      <w:r w:rsidR="00F7606B">
        <w:rPr>
          <w:rFonts w:ascii="Times New Roman" w:eastAsia="Times New Roman" w:hAnsi="Times New Roman" w:cs="Times New Roman"/>
          <w:color w:val="00000A"/>
          <w:highlight w:val="white"/>
        </w:rPr>
        <w:t xml:space="preserve"> lub leksykalny</w:t>
      </w:r>
      <w:r w:rsidR="00390358">
        <w:rPr>
          <w:rFonts w:ascii="Times New Roman" w:eastAsia="Times New Roman" w:hAnsi="Times New Roman" w:cs="Times New Roman"/>
          <w:color w:val="00000A"/>
          <w:highlight w:val="white"/>
        </w:rPr>
        <w:t>,</w:t>
      </w:r>
    </w:p>
    <w:p w:rsidR="00390358" w:rsidRDefault="00390358">
      <w:pPr>
        <w:numPr>
          <w:ilvl w:val="0"/>
          <w:numId w:val="5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dyktando- obejmujące słownictwo z danego działu,</w:t>
      </w:r>
    </w:p>
    <w:p w:rsidR="009F23D4" w:rsidRDefault="00CA59A2" w:rsidP="00580EE7">
      <w:pPr>
        <w:numPr>
          <w:ilvl w:val="0"/>
          <w:numId w:val="5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prace domowe ucznia – podlegają sprawdzeniu, ale nie zawsze ocenie  w formie stopnia,</w:t>
      </w:r>
    </w:p>
    <w:p w:rsidR="00580EE7" w:rsidRPr="00580EE7" w:rsidRDefault="00580EE7" w:rsidP="00580EE7">
      <w:pPr>
        <w:tabs>
          <w:tab w:val="left" w:pos="540"/>
          <w:tab w:val="left" w:pos="414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CA59A2">
      <w:pPr>
        <w:tabs>
          <w:tab w:val="left" w:pos="540"/>
          <w:tab w:val="left" w:pos="81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b) odpowiedzi </w:t>
      </w:r>
      <w:r w:rsidR="00390358">
        <w:rPr>
          <w:rFonts w:ascii="Times New Roman" w:eastAsia="Times New Roman" w:hAnsi="Times New Roman" w:cs="Times New Roman"/>
          <w:color w:val="00000A"/>
          <w:highlight w:val="white"/>
        </w:rPr>
        <w:t>ustne- dialogi, prezentacje, czytanie głośne</w:t>
      </w:r>
      <w:r>
        <w:rPr>
          <w:rFonts w:ascii="Times New Roman" w:eastAsia="Times New Roman" w:hAnsi="Times New Roman" w:cs="Times New Roman"/>
          <w:color w:val="00000A"/>
          <w:highlight w:val="white"/>
        </w:rPr>
        <w:t>,</w:t>
      </w:r>
    </w:p>
    <w:p w:rsidR="009F23D4" w:rsidRDefault="00CA59A2">
      <w:pPr>
        <w:tabs>
          <w:tab w:val="left" w:pos="540"/>
          <w:tab w:val="left" w:pos="81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c) aktywność na lekcji.</w:t>
      </w:r>
    </w:p>
    <w:p w:rsidR="009F23D4" w:rsidRDefault="009F23D4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0B5F0B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2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 xml:space="preserve">.   </w:t>
      </w:r>
      <w:r w:rsidR="00CA59A2"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Sposoby oceniania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 w:rsidP="000B3E56">
      <w:pPr>
        <w:numPr>
          <w:ilvl w:val="0"/>
          <w:numId w:val="7"/>
        </w:numPr>
        <w:tabs>
          <w:tab w:val="left" w:pos="567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stopniem,</w:t>
      </w:r>
    </w:p>
    <w:p w:rsidR="009F23D4" w:rsidRDefault="00CA59A2" w:rsidP="000B3E56">
      <w:pPr>
        <w:numPr>
          <w:ilvl w:val="0"/>
          <w:numId w:val="7"/>
        </w:numPr>
        <w:spacing w:line="240" w:lineRule="exact"/>
        <w:ind w:left="567" w:hanging="218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pochwałą,</w:t>
      </w:r>
    </w:p>
    <w:p w:rsidR="00390358" w:rsidRPr="00390358" w:rsidRDefault="00390358" w:rsidP="000B3E56">
      <w:pPr>
        <w:numPr>
          <w:ilvl w:val="0"/>
          <w:numId w:val="7"/>
        </w:numPr>
        <w:tabs>
          <w:tab w:val="left" w:pos="360"/>
        </w:tabs>
        <w:spacing w:line="240" w:lineRule="exact"/>
        <w:ind w:left="567" w:hanging="207"/>
        <w:jc w:val="both"/>
        <w:rPr>
          <w:rFonts w:ascii="Times New Roman" w:eastAsia="Times New Roman" w:hAnsi="Times New Roman" w:cs="Times New Roman"/>
          <w:i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informacją zwrotną o postępach ucznia,</w:t>
      </w:r>
    </w:p>
    <w:p w:rsidR="009F23D4" w:rsidRPr="00390358" w:rsidRDefault="00CA59A2" w:rsidP="000B3E56">
      <w:pPr>
        <w:numPr>
          <w:ilvl w:val="0"/>
          <w:numId w:val="7"/>
        </w:numPr>
        <w:tabs>
          <w:tab w:val="left" w:pos="426"/>
        </w:tabs>
        <w:spacing w:line="240" w:lineRule="exact"/>
        <w:ind w:left="567" w:hanging="207"/>
        <w:jc w:val="both"/>
        <w:rPr>
          <w:rFonts w:ascii="Times New Roman" w:eastAsia="Times New Roman" w:hAnsi="Times New Roman" w:cs="Times New Roman"/>
          <w:i/>
          <w:color w:val="00000A"/>
          <w:highlight w:val="white"/>
        </w:rPr>
      </w:pPr>
      <w:r w:rsidRPr="00390358">
        <w:rPr>
          <w:rFonts w:ascii="Times New Roman" w:eastAsia="Times New Roman" w:hAnsi="Times New Roman" w:cs="Times New Roman"/>
          <w:color w:val="00000A"/>
          <w:highlight w:val="white"/>
        </w:rPr>
        <w:t>plusami/minusami (aktywność, przygotowanie do lekcji</w:t>
      </w:r>
      <w:r w:rsidR="00390358">
        <w:rPr>
          <w:rFonts w:ascii="Times New Roman" w:eastAsia="Times New Roman" w:hAnsi="Times New Roman" w:cs="Times New Roman"/>
          <w:color w:val="00000A"/>
          <w:highlight w:val="white"/>
        </w:rPr>
        <w:t>, gazetka klasowa</w:t>
      </w:r>
      <w:r w:rsidRPr="00390358">
        <w:rPr>
          <w:rFonts w:ascii="Times New Roman" w:eastAsia="Times New Roman" w:hAnsi="Times New Roman" w:cs="Times New Roman"/>
          <w:color w:val="00000A"/>
          <w:highlight w:val="white"/>
        </w:rPr>
        <w:t>),</w:t>
      </w:r>
    </w:p>
    <w:p w:rsidR="009F23D4" w:rsidRDefault="009F23D4">
      <w:pPr>
        <w:spacing w:after="200" w:line="276" w:lineRule="exact"/>
        <w:jc w:val="both"/>
        <w:rPr>
          <w:rFonts w:ascii="Times New Roman" w:eastAsia="Times New Roman" w:hAnsi="Times New Roman" w:cs="Times New Roman"/>
          <w:i/>
          <w:color w:val="00000A"/>
          <w:highlight w:val="white"/>
        </w:rPr>
      </w:pPr>
    </w:p>
    <w:p w:rsidR="009F23D4" w:rsidRDefault="000B5F0B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lastRenderedPageBreak/>
        <w:t>3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 xml:space="preserve">.   </w:t>
      </w:r>
      <w:r w:rsidR="00CA59A2"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Skala ocen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celująca – 6 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bardzo dobra – 5 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dobra – 4 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dostateczna – 3 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dopuszczająca – 2 </w:t>
      </w:r>
    </w:p>
    <w:p w:rsidR="009F23D4" w:rsidRDefault="00CA59A2">
      <w:pPr>
        <w:numPr>
          <w:ilvl w:val="0"/>
          <w:numId w:val="8"/>
        </w:numPr>
        <w:tabs>
          <w:tab w:val="left" w:pos="540"/>
          <w:tab w:val="left" w:pos="72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ocena niedostateczna – 1 </w:t>
      </w:r>
    </w:p>
    <w:p w:rsidR="009F23D4" w:rsidRDefault="009F23D4">
      <w:pPr>
        <w:tabs>
          <w:tab w:val="left" w:pos="1260"/>
          <w:tab w:val="left" w:pos="1440"/>
          <w:tab w:val="left" w:pos="486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0B5F0B">
      <w:p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4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 xml:space="preserve">. </w:t>
      </w:r>
      <w:r w:rsidR="000B3E56"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>Krótkie wypowiedzi pisemne</w:t>
      </w:r>
      <w:r w:rsidR="00CA59A2" w:rsidRPr="00926C61">
        <w:rPr>
          <w:rFonts w:ascii="Times New Roman" w:eastAsia="Times New Roman" w:hAnsi="Times New Roman" w:cs="Times New Roman"/>
          <w:i/>
          <w:color w:val="00000A"/>
          <w:highlight w:val="white"/>
        </w:rPr>
        <w:t xml:space="preserve"> oceniane są wg następujących kryteriów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:</w:t>
      </w:r>
    </w:p>
    <w:p w:rsidR="009F23D4" w:rsidRDefault="00CA59A2">
      <w:pPr>
        <w:pStyle w:val="Akapitzlist1"/>
        <w:numPr>
          <w:ilvl w:val="0"/>
          <w:numId w:val="9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zgodność treści z tematem,</w:t>
      </w:r>
    </w:p>
    <w:p w:rsidR="009F23D4" w:rsidRDefault="00CA59A2">
      <w:pPr>
        <w:pStyle w:val="Akapitzlist1"/>
        <w:numPr>
          <w:ilvl w:val="0"/>
          <w:numId w:val="9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właściwa forma i kompozycja,</w:t>
      </w:r>
    </w:p>
    <w:p w:rsidR="009F23D4" w:rsidRDefault="00CA59A2">
      <w:pPr>
        <w:pStyle w:val="Akapitzlist1"/>
        <w:numPr>
          <w:ilvl w:val="0"/>
          <w:numId w:val="9"/>
        </w:num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poprawność języka, zasób słown</w:t>
      </w:r>
      <w:r w:rsidR="000B3E56">
        <w:rPr>
          <w:rFonts w:ascii="Times New Roman" w:eastAsia="Times New Roman" w:hAnsi="Times New Roman" w:cs="Times New Roman"/>
          <w:color w:val="00000A"/>
          <w:highlight w:val="white"/>
        </w:rPr>
        <w:t xml:space="preserve">ictwa, </w:t>
      </w:r>
    </w:p>
    <w:p w:rsidR="009F23D4" w:rsidRDefault="00CA59A2">
      <w:pPr>
        <w:pStyle w:val="Akapitzlist1"/>
        <w:numPr>
          <w:ilvl w:val="0"/>
          <w:numId w:val="9"/>
        </w:num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poprawność ortograficzna i interpunkcyjna,</w:t>
      </w:r>
    </w:p>
    <w:p w:rsidR="000B3E56" w:rsidRDefault="000B5F0B">
      <w:pPr>
        <w:spacing w:after="200"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5</w:t>
      </w:r>
      <w:r w:rsidR="00CA59A2">
        <w:rPr>
          <w:rFonts w:ascii="Times New Roman" w:eastAsia="Times New Roman" w:hAnsi="Times New Roman" w:cs="Times New Roman"/>
          <w:highlight w:val="white"/>
        </w:rPr>
        <w:t xml:space="preserve">. </w:t>
      </w:r>
      <w:r w:rsidR="000B3E56" w:rsidRPr="00926C61">
        <w:rPr>
          <w:rFonts w:ascii="Times New Roman" w:eastAsia="Times New Roman" w:hAnsi="Times New Roman" w:cs="Times New Roman"/>
          <w:i/>
          <w:highlight w:val="white"/>
        </w:rPr>
        <w:t>Wypowiedzi ustne oceniane są wg następujących kryteriów</w:t>
      </w:r>
      <w:r w:rsidR="000B3E56">
        <w:rPr>
          <w:rFonts w:ascii="Times New Roman" w:eastAsia="Times New Roman" w:hAnsi="Times New Roman" w:cs="Times New Roman"/>
          <w:highlight w:val="white"/>
        </w:rPr>
        <w:t>:</w:t>
      </w:r>
    </w:p>
    <w:p w:rsidR="000B3E56" w:rsidRDefault="000B3E56" w:rsidP="000B3E56">
      <w:pPr>
        <w:numPr>
          <w:ilvl w:val="0"/>
          <w:numId w:val="13"/>
        </w:num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poprawność językowa- wymowa,</w:t>
      </w:r>
      <w:r w:rsidR="000B5F0B">
        <w:rPr>
          <w:rFonts w:ascii="Times New Roman" w:eastAsia="Times New Roman" w:hAnsi="Times New Roman" w:cs="Times New Roman"/>
          <w:highlight w:val="white"/>
        </w:rPr>
        <w:t xml:space="preserve"> gramatyka,</w:t>
      </w:r>
    </w:p>
    <w:p w:rsidR="000B3E56" w:rsidRDefault="000B3E56" w:rsidP="000B3E56">
      <w:pPr>
        <w:numPr>
          <w:ilvl w:val="0"/>
          <w:numId w:val="13"/>
        </w:num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zasób słownictwa</w:t>
      </w:r>
      <w:r w:rsidR="000B5F0B">
        <w:rPr>
          <w:rFonts w:ascii="Times New Roman" w:eastAsia="Times New Roman" w:hAnsi="Times New Roman" w:cs="Times New Roman"/>
          <w:highlight w:val="white"/>
        </w:rPr>
        <w:t>- leksyka</w:t>
      </w:r>
      <w:r>
        <w:rPr>
          <w:rFonts w:ascii="Times New Roman" w:eastAsia="Times New Roman" w:hAnsi="Times New Roman" w:cs="Times New Roman"/>
          <w:highlight w:val="white"/>
        </w:rPr>
        <w:t>,</w:t>
      </w:r>
    </w:p>
    <w:p w:rsidR="000B3E56" w:rsidRDefault="000B3E56" w:rsidP="000B3E56">
      <w:pPr>
        <w:numPr>
          <w:ilvl w:val="0"/>
          <w:numId w:val="13"/>
        </w:num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oryginalność, pomysłowość</w:t>
      </w:r>
      <w:r w:rsidR="000B5F0B">
        <w:rPr>
          <w:rFonts w:ascii="Times New Roman" w:eastAsia="Times New Roman" w:hAnsi="Times New Roman" w:cs="Times New Roman"/>
          <w:highlight w:val="white"/>
        </w:rPr>
        <w:t>,</w:t>
      </w:r>
    </w:p>
    <w:p w:rsidR="000B5F0B" w:rsidRDefault="000B5F0B" w:rsidP="000B3E56">
      <w:pPr>
        <w:numPr>
          <w:ilvl w:val="0"/>
          <w:numId w:val="13"/>
        </w:numPr>
        <w:spacing w:line="276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płynność mówienia</w:t>
      </w:r>
    </w:p>
    <w:p w:rsidR="000B3E56" w:rsidRDefault="000B3E56" w:rsidP="000B3E56">
      <w:pPr>
        <w:spacing w:line="276" w:lineRule="exact"/>
        <w:ind w:left="720"/>
        <w:rPr>
          <w:rFonts w:ascii="Times New Roman" w:eastAsia="Times New Roman" w:hAnsi="Times New Roman" w:cs="Times New Roman"/>
          <w:highlight w:val="white"/>
        </w:rPr>
      </w:pPr>
    </w:p>
    <w:p w:rsidR="000B3E56" w:rsidRPr="00926C61" w:rsidRDefault="000B3E56" w:rsidP="000B3E56">
      <w:pPr>
        <w:widowControl/>
        <w:autoSpaceDE w:val="0"/>
        <w:rPr>
          <w:rFonts w:ascii="Calibri" w:eastAsia="Calibri" w:hAnsi="Calibri" w:cs="Times New Roman"/>
          <w:i/>
          <w:kern w:val="0"/>
          <w:sz w:val="22"/>
          <w:szCs w:val="22"/>
          <w:lang w:bidi="ar-SA"/>
        </w:rPr>
      </w:pPr>
      <w:proofErr w:type="spellStart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>Kryteria</w:t>
      </w:r>
      <w:proofErr w:type="spellEnd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 xml:space="preserve"> </w:t>
      </w:r>
      <w:proofErr w:type="spellStart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>oceny</w:t>
      </w:r>
      <w:proofErr w:type="spellEnd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 xml:space="preserve"> </w:t>
      </w:r>
      <w:proofErr w:type="spellStart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>wypowiedzi</w:t>
      </w:r>
      <w:proofErr w:type="spellEnd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 xml:space="preserve"> </w:t>
      </w:r>
      <w:proofErr w:type="spellStart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>ustnej</w:t>
      </w:r>
      <w:proofErr w:type="spellEnd"/>
      <w:r w:rsidRPr="00926C61">
        <w:rPr>
          <w:rFonts w:ascii="Bookman Old Style" w:eastAsia="Calibri" w:hAnsi="Bookman Old Style" w:cs="Bookman Old Style"/>
          <w:bCs/>
          <w:i/>
          <w:color w:val="000000"/>
          <w:kern w:val="0"/>
          <w:lang w:val="en-US" w:bidi="ar-SA"/>
        </w:rPr>
        <w:t xml:space="preserve"> </w:t>
      </w: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48"/>
        <w:gridCol w:w="1920"/>
        <w:gridCol w:w="2160"/>
        <w:gridCol w:w="1680"/>
        <w:gridCol w:w="1800"/>
        <w:gridCol w:w="1880"/>
      </w:tblGrid>
      <w:tr w:rsidR="000B3E56" w:rsidRPr="000B3E56" w:rsidTr="0096728B">
        <w:trPr>
          <w:trHeight w:val="69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ind w:left="113" w:right="113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</w:p>
          <w:p w:rsidR="000B3E56" w:rsidRPr="000B3E56" w:rsidRDefault="000B3E56" w:rsidP="000B3E56">
            <w:pPr>
              <w:widowControl/>
              <w:autoSpaceDE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bdb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</w:p>
          <w:p w:rsidR="000B3E56" w:rsidRPr="000B3E56" w:rsidRDefault="000B3E56" w:rsidP="000B3E56">
            <w:pPr>
              <w:widowControl/>
              <w:autoSpaceDE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db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</w:p>
          <w:p w:rsidR="000B3E56" w:rsidRPr="000B3E56" w:rsidRDefault="000B3E56" w:rsidP="000B3E56">
            <w:pPr>
              <w:widowControl/>
              <w:autoSpaceDE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dst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</w:p>
          <w:p w:rsidR="000B3E56" w:rsidRPr="000B3E56" w:rsidRDefault="000B3E56" w:rsidP="000B3E56">
            <w:pPr>
              <w:widowControl/>
              <w:autoSpaceDE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dop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bidi="ar-SA"/>
              </w:rPr>
            </w:pPr>
          </w:p>
          <w:p w:rsidR="000B3E56" w:rsidRPr="000B3E56" w:rsidRDefault="000B3E56" w:rsidP="000B3E56">
            <w:pPr>
              <w:widowControl/>
              <w:autoSpaceDE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ndst</w:t>
            </w:r>
            <w:proofErr w:type="spellEnd"/>
          </w:p>
        </w:tc>
      </w:tr>
      <w:tr w:rsidR="000B3E56" w:rsidRPr="000B3E56" w:rsidTr="0096728B">
        <w:trPr>
          <w:trHeight w:val="13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ind w:left="113" w:right="113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val="en-US" w:bidi="ar-SA"/>
              </w:rPr>
              <w:t>Wymowa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Prawie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bez 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polskiego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akcentu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Wyraźny polski  akcent, ale wypowiedź zrozumiała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Błędy powodują, że wypowiedź jest niespójna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Wypowiedź ledwo zrozumiała, konieczność powtórzeń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Komunikat niezrozumiały lub brak wypowiedzi.</w:t>
            </w:r>
          </w:p>
        </w:tc>
      </w:tr>
      <w:tr w:rsidR="000B3E56" w:rsidRPr="000B3E56" w:rsidTr="0096728B">
        <w:trPr>
          <w:trHeight w:val="11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ind w:left="113" w:right="113"/>
              <w:jc w:val="center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Gramatyka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 xml:space="preserve">Nieliczne, mało ważne błędy gramatyczne lub ich brak. Poprawne konstrukcje gramatyczne.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Pojedyncze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b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łędy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Cz</w:t>
            </w: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ęste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 xml:space="preserve"> błędy zakłócające komunikację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Zdania bardzo proste lub o zakłóconej konstrukcji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Poważne błędy uniemożliwiają zrozumienie komunikatu</w:t>
            </w:r>
          </w:p>
        </w:tc>
      </w:tr>
      <w:tr w:rsidR="000B3E56" w:rsidRPr="000B3E56" w:rsidTr="0096728B">
        <w:trPr>
          <w:trHeight w:val="11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ind w:left="113" w:right="113"/>
              <w:jc w:val="center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Leksyka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Dobór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s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łownictwa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 xml:space="preserve"> poprawny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Czasami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niepoprawny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dobór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s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łownictwa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Częste błędy, ograniczona znajomość słownictwa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Niewielki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>zasób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val="en-US" w:bidi="ar-SA"/>
              </w:rPr>
              <w:t xml:space="preserve"> s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łownictwa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Bardzo mały zasób słownictwa uniemożliwia komunikację</w:t>
            </w:r>
          </w:p>
        </w:tc>
      </w:tr>
      <w:tr w:rsidR="000B3E56" w:rsidRPr="000B3E56" w:rsidTr="0096728B">
        <w:trPr>
          <w:trHeight w:val="118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ind w:left="113" w:right="113"/>
              <w:jc w:val="center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val="en-US" w:bidi="ar-SA"/>
              </w:rPr>
              <w:t>P</w:t>
            </w:r>
            <w:proofErr w:type="spellStart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bidi="ar-SA"/>
              </w:rPr>
              <w:t>łynność</w:t>
            </w:r>
            <w:proofErr w:type="spellEnd"/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bidi="ar-SA"/>
              </w:rPr>
              <w:t xml:space="preserve"> mów</w:t>
            </w:r>
            <w:r w:rsidRPr="000B3E56">
              <w:rPr>
                <w:rFonts w:ascii="Bookman Old Style" w:eastAsia="Calibri" w:hAnsi="Bookman Old Style" w:cs="Bookman Old Style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bidi="ar-SA"/>
              </w:rPr>
              <w:lastRenderedPageBreak/>
              <w:t>ienia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lastRenderedPageBreak/>
              <w:t>Wypowiedź płynna, poprawne tempo mówienia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Od czasu do czasu przerwy w wypowiedzi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Powolne tempo mówienia, dużo przerw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Bardzo duże zahamowania w mówieniu, dużo przerw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3E56" w:rsidRPr="000B3E56" w:rsidRDefault="000B3E56" w:rsidP="000B3E56">
            <w:pPr>
              <w:widowControl/>
              <w:autoSpaceDE w:val="0"/>
              <w:rPr>
                <w:rFonts w:ascii="Calibri" w:eastAsia="Calibri" w:hAnsi="Calibri" w:cs="Times New Roman"/>
                <w:kern w:val="0"/>
                <w:sz w:val="22"/>
                <w:szCs w:val="22"/>
                <w:lang w:bidi="ar-SA"/>
              </w:rPr>
            </w:pPr>
            <w:r w:rsidRPr="000B3E56">
              <w:rPr>
                <w:rFonts w:ascii="Bookman Old Style" w:eastAsia="Calibri" w:hAnsi="Bookman Old Style" w:cs="Bookman Old Style"/>
                <w:i/>
                <w:iCs/>
                <w:color w:val="000000"/>
                <w:kern w:val="0"/>
                <w:sz w:val="20"/>
                <w:szCs w:val="20"/>
                <w:lang w:bidi="ar-SA"/>
              </w:rPr>
              <w:t>Rozmowa niemożliwa z powodu licznych przerw i powolnego tempa mówienia</w:t>
            </w:r>
          </w:p>
        </w:tc>
      </w:tr>
    </w:tbl>
    <w:p w:rsidR="009F23D4" w:rsidRDefault="009F23D4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Default="009F23D4">
      <w:pPr>
        <w:spacing w:after="200" w:line="276" w:lineRule="exact"/>
        <w:jc w:val="center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</w:p>
    <w:p w:rsidR="009F23D4" w:rsidRDefault="00CA59A2">
      <w:pPr>
        <w:spacing w:after="200" w:line="276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 xml:space="preserve">Kryteria oceny </w:t>
      </w:r>
    </w:p>
    <w:p w:rsidR="009F23D4" w:rsidRDefault="00CA59A2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0% – 29% niedostateczny</w:t>
      </w:r>
    </w:p>
    <w:p w:rsidR="009F23D4" w:rsidRDefault="00CA59A2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30% - 49% dopuszczający</w:t>
      </w:r>
    </w:p>
    <w:p w:rsidR="009F23D4" w:rsidRDefault="00CA59A2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50% - 74% dostateczny</w:t>
      </w:r>
    </w:p>
    <w:p w:rsidR="009F23D4" w:rsidRDefault="00CA59A2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75% - 90% dobry</w:t>
      </w:r>
    </w:p>
    <w:p w:rsidR="009F23D4" w:rsidRDefault="00CA59A2">
      <w:pPr>
        <w:spacing w:after="200"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91% - 100% bardzo dobry</w:t>
      </w:r>
    </w:p>
    <w:p w:rsidR="000B5F0B" w:rsidRDefault="000B5F0B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F23D4" w:rsidRPr="00926C61" w:rsidRDefault="000B5F0B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 w:rsidRPr="00926C61"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III</w:t>
      </w:r>
      <w:r w:rsidR="00CA59A2" w:rsidRPr="00926C61"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. ZASADY POPRAWIANIA OCEN</w:t>
      </w:r>
    </w:p>
    <w:p w:rsidR="009F23D4" w:rsidRDefault="00CA59A2">
      <w:pPr>
        <w:tabs>
          <w:tab w:val="left" w:pos="360"/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1. Każdy uczeń ma prawo do poprawy niedostatecznych ocen cząstkowych według zasad uzgodnionych z nauczycielem.</w:t>
      </w:r>
      <w:r w:rsidR="000B5F0B">
        <w:rPr>
          <w:rFonts w:ascii="Times New Roman" w:eastAsia="Times New Roman" w:hAnsi="Times New Roman" w:cs="Times New Roman"/>
          <w:color w:val="00000A"/>
          <w:highlight w:val="white"/>
        </w:rPr>
        <w:t xml:space="preserve"> Ocena z poprawy nie może być większa niż dobry</w:t>
      </w:r>
      <w:r w:rsidR="00F7606B">
        <w:rPr>
          <w:rFonts w:ascii="Times New Roman" w:eastAsia="Times New Roman" w:hAnsi="Times New Roman" w:cs="Times New Roman"/>
          <w:color w:val="00000A"/>
          <w:highlight w:val="white"/>
        </w:rPr>
        <w:t>.</w:t>
      </w:r>
    </w:p>
    <w:p w:rsidR="009F23D4" w:rsidRPr="00926C61" w:rsidRDefault="000B5F0B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I</w:t>
      </w:r>
      <w:r w:rsidR="00CA59A2"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V. DOSTOSOWANIE WYMAGAŃ EDUKACYJNYCH DLA UCZNIÓW Z OPINIĄ WYDANĄ PRZEZ PPP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W stosunku do uczniów z dostosowaniem wymagań edukacyjnych (stwierdzone </w:t>
      </w:r>
      <w:r>
        <w:rPr>
          <w:rFonts w:ascii="Times New Roman" w:eastAsia="Times New Roman" w:hAnsi="Times New Roman" w:cs="Times New Roman"/>
          <w:color w:val="00000A"/>
          <w:highlight w:val="white"/>
        </w:rPr>
        <w:br/>
        <w:t>i zapisane w opinii wydanej przez poradnię psychologiczno-pedagogiczną), stosowane są następujące zasady: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1. Uczniowie mogą zdobyć mniej punktów, aby uzyskać ocenę pozytywną 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Kryteria oceny: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85% - 100% - bardzo dobry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65% - 84% -  dobry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45% - 64% - dostateczny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23% - 24% - dopuszczający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0 – 22% - niedostateczny</w:t>
      </w:r>
    </w:p>
    <w:p w:rsidR="009F23D4" w:rsidRDefault="00CA59A2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2. Tolerancja błędów językowych, ortograficznych i interpunkcyjnych przy ocenianiu prac jest większa.</w:t>
      </w:r>
    </w:p>
    <w:p w:rsidR="000B5F0B" w:rsidRDefault="00CA59A2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3. Przy ocenie ćwiczeń redakcyjnych uczniów ze stwierdzoną dysleksją rozwojową nie bierze się pod uwagę poprawności ortograficznej i interpunkcyjnej, a odpowiednio – komunikatywność wypowiedzi i czytelność, z pominięciem zaburzeń strony graficznej pisma. </w:t>
      </w:r>
    </w:p>
    <w:p w:rsidR="009F23D4" w:rsidRDefault="000B5F0B">
      <w:pPr>
        <w:tabs>
          <w:tab w:val="left" w:pos="540"/>
          <w:tab w:val="left" w:pos="90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4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. Nauczyciel uwzględnia przy ocenianiu uczniów z orzeczoną dysleksją indywidualne wytyczne</w:t>
      </w:r>
      <w:r w:rsidR="00CA59A2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zapisane w poszczególnych opiniach (np. wolne tempo pracy – więcej czasu na sprawdzianach</w:t>
      </w:r>
      <w:r>
        <w:rPr>
          <w:rFonts w:ascii="Times New Roman" w:eastAsia="Times New Roman" w:hAnsi="Times New Roman" w:cs="Times New Roman"/>
          <w:color w:val="00000A"/>
          <w:highlight w:val="white"/>
        </w:rPr>
        <w:t>, słowna zachęta, naprowadzanie na odpowiedź- pomocne pytania</w:t>
      </w:r>
      <w:r w:rsidR="00CA59A2">
        <w:rPr>
          <w:rFonts w:ascii="Times New Roman" w:eastAsia="Times New Roman" w:hAnsi="Times New Roman" w:cs="Times New Roman"/>
          <w:color w:val="00000A"/>
          <w:highlight w:val="white"/>
        </w:rPr>
        <w:t>).</w:t>
      </w:r>
    </w:p>
    <w:p w:rsidR="000B5F0B" w:rsidRDefault="000B5F0B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F23D4" w:rsidRPr="00926C61" w:rsidRDefault="00926C61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  <w:r w:rsidRPr="00926C61">
        <w:rPr>
          <w:rFonts w:ascii="Times New Roman" w:eastAsia="Times New Roman" w:hAnsi="Times New Roman" w:cs="Times New Roman"/>
          <w:color w:val="000000"/>
          <w:highlight w:val="white"/>
          <w:u w:val="single"/>
        </w:rPr>
        <w:lastRenderedPageBreak/>
        <w:t>V</w:t>
      </w:r>
      <w:r w:rsidR="00CA59A2" w:rsidRPr="00926C61"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. USTALENIA KOŃCOWE</w:t>
      </w: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 Oceniamy:</w:t>
      </w:r>
    </w:p>
    <w:p w:rsidR="009F23D4" w:rsidRDefault="00CA59A2">
      <w:pPr>
        <w:numPr>
          <w:ilvl w:val="0"/>
          <w:numId w:val="11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systematycznie,</w:t>
      </w:r>
    </w:p>
    <w:p w:rsidR="009F23D4" w:rsidRDefault="00CA59A2">
      <w:pPr>
        <w:numPr>
          <w:ilvl w:val="0"/>
          <w:numId w:val="11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rzetelnie,</w:t>
      </w:r>
    </w:p>
    <w:p w:rsidR="009F23D4" w:rsidRDefault="00CA59A2">
      <w:pPr>
        <w:numPr>
          <w:ilvl w:val="0"/>
          <w:numId w:val="11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sprawiedliwie,</w:t>
      </w:r>
    </w:p>
    <w:p w:rsidR="000B5F0B" w:rsidRDefault="000B5F0B" w:rsidP="000B5F0B">
      <w:pPr>
        <w:tabs>
          <w:tab w:val="left" w:pos="540"/>
          <w:tab w:val="left" w:pos="4140"/>
        </w:tabs>
        <w:spacing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B5F0B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 Oceny są jawne.</w:t>
      </w: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 Uczeń ma prawo </w:t>
      </w:r>
      <w:r w:rsidR="00580EE7">
        <w:rPr>
          <w:rFonts w:ascii="Times New Roman" w:eastAsia="Times New Roman" w:hAnsi="Times New Roman" w:cs="Times New Roman"/>
          <w:color w:val="000000"/>
          <w:highlight w:val="white"/>
        </w:rPr>
        <w:t>trzykrotnie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w ciągu semestru zgłosić nieprzygotowanie do lekcji, np.</w:t>
      </w:r>
    </w:p>
    <w:p w:rsidR="009F23D4" w:rsidRDefault="00CA59A2">
      <w:pPr>
        <w:numPr>
          <w:ilvl w:val="0"/>
          <w:numId w:val="12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brak pracy domowej,</w:t>
      </w:r>
    </w:p>
    <w:p w:rsidR="009F23D4" w:rsidRDefault="000B5F0B">
      <w:pPr>
        <w:numPr>
          <w:ilvl w:val="0"/>
          <w:numId w:val="12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brak podręcznika, zeszytu ćwiczeń, zeszytu przedmiotowego</w:t>
      </w:r>
      <w:r w:rsidR="000F5206">
        <w:rPr>
          <w:rFonts w:ascii="Times New Roman" w:eastAsia="Times New Roman" w:hAnsi="Times New Roman" w:cs="Times New Roman"/>
          <w:color w:val="000000"/>
          <w:highlight w:val="white"/>
        </w:rPr>
        <w:t>,</w:t>
      </w:r>
    </w:p>
    <w:p w:rsidR="000F5206" w:rsidRDefault="000F5206">
      <w:pPr>
        <w:numPr>
          <w:ilvl w:val="0"/>
          <w:numId w:val="12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brak pracy pisemnej,</w:t>
      </w:r>
    </w:p>
    <w:p w:rsidR="000F5206" w:rsidRPr="000F5206" w:rsidRDefault="000F5206" w:rsidP="000F5206">
      <w:pPr>
        <w:numPr>
          <w:ilvl w:val="0"/>
          <w:numId w:val="12"/>
        </w:numPr>
        <w:tabs>
          <w:tab w:val="left" w:pos="540"/>
          <w:tab w:val="left" w:pos="414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nierozwiązanie zadań na platformie,</w:t>
      </w:r>
    </w:p>
    <w:p w:rsidR="009F23D4" w:rsidRDefault="009F23D4">
      <w:pPr>
        <w:tabs>
          <w:tab w:val="left" w:pos="2040"/>
          <w:tab w:val="left" w:pos="5640"/>
        </w:tabs>
        <w:spacing w:line="240" w:lineRule="exact"/>
        <w:ind w:left="150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 Nieprzygotowanie nie dotyczy zapowiedzianych </w:t>
      </w:r>
      <w:r w:rsidR="000B5F0B">
        <w:rPr>
          <w:rFonts w:ascii="Times New Roman" w:eastAsia="Times New Roman" w:hAnsi="Times New Roman" w:cs="Times New Roman"/>
          <w:color w:val="000000"/>
          <w:highlight w:val="white"/>
        </w:rPr>
        <w:t>dyktand, kartkówek</w:t>
      </w:r>
      <w:r w:rsidR="000F5206">
        <w:rPr>
          <w:rFonts w:ascii="Times New Roman" w:eastAsia="Times New Roman" w:hAnsi="Times New Roman" w:cs="Times New Roman"/>
          <w:color w:val="000000"/>
          <w:highlight w:val="white"/>
        </w:rPr>
        <w:t>, sprawdzianów oraz dialogów.</w:t>
      </w: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 Po wykorzystaniu limitu określon</w:t>
      </w:r>
      <w:r w:rsidR="000B5F0B">
        <w:rPr>
          <w:rFonts w:ascii="Times New Roman" w:eastAsia="Times New Roman" w:hAnsi="Times New Roman" w:cs="Times New Roman"/>
          <w:color w:val="000000"/>
          <w:highlight w:val="white"/>
        </w:rPr>
        <w:t xml:space="preserve">ego powyżej, uczeń otrzymuje </w:t>
      </w:r>
      <w:r w:rsidR="00580EE7">
        <w:rPr>
          <w:rFonts w:ascii="Times New Roman" w:eastAsia="Times New Roman" w:hAnsi="Times New Roman" w:cs="Times New Roman"/>
          <w:color w:val="000000"/>
          <w:highlight w:val="white"/>
        </w:rPr>
        <w:t>ocenę niedostateczną</w:t>
      </w:r>
      <w:r w:rsidR="000B5F0B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6. Uczeń winien każde nieprzygotowanie zgłosić </w:t>
      </w:r>
      <w:r w:rsidR="000B5F0B">
        <w:rPr>
          <w:rFonts w:ascii="Times New Roman" w:eastAsia="Times New Roman" w:hAnsi="Times New Roman" w:cs="Times New Roman"/>
          <w:color w:val="000000"/>
          <w:highlight w:val="white"/>
        </w:rPr>
        <w:t>w trakcie sprawdzania obecności.</w:t>
      </w:r>
    </w:p>
    <w:p w:rsidR="009F23D4" w:rsidRDefault="00CA59A2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7. Aktywność na lekcji, np. częste zgłaszanie, udzielanie poprawnych odpowiedzi,  aktywna praca w grupach może być oceniana plusami „+”.  Za 5 „+” uczeń otrzymuje ocenę bardzo dobrą</w:t>
      </w:r>
      <w:r>
        <w:rPr>
          <w:rFonts w:ascii="Times New Roman" w:eastAsia="Times New Roman" w:hAnsi="Times New Roman" w:cs="Times New Roman"/>
          <w:color w:val="00000A"/>
          <w:highlight w:val="white"/>
        </w:rPr>
        <w:t>. Za brak zeszytu przedmiotowego, zeszytu ćwiczeń, podręcznika, nieprzygotowanie do lekcji, brak pracy domowej uczeń otrzymuje -, a 3 „-” to ocena niedostateczna.</w:t>
      </w:r>
    </w:p>
    <w:p w:rsidR="000F5206" w:rsidRDefault="000F5206">
      <w:pPr>
        <w:tabs>
          <w:tab w:val="left" w:pos="540"/>
          <w:tab w:val="left" w:pos="4140"/>
        </w:tabs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8. Jeżeli uczeń zgłosi nieprzygotowanie z pracy pisemnej, powinien donieść tą pracę najpóźniej na drugą lekcję od momentu zgłoszenia jej braku.</w:t>
      </w:r>
    </w:p>
    <w:p w:rsidR="009F23D4" w:rsidRPr="00926C61" w:rsidRDefault="00926C61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V</w:t>
      </w:r>
      <w:r w:rsidR="00CA59A2" w:rsidRPr="00926C61"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I. KRYTERIA WYMAGAŃ N POSZCZEGÓLNE OCENY</w:t>
      </w:r>
    </w:p>
    <w:p w:rsidR="009F23D4" w:rsidRDefault="009F23D4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</w:p>
    <w:p w:rsidR="009F23D4" w:rsidRPr="000F5206" w:rsidRDefault="00CA59A2" w:rsidP="000F5206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</w:rPr>
      </w:pPr>
      <w:r w:rsidRPr="00926C61"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  <w:t>Ocena celująca</w:t>
      </w:r>
      <w:r w:rsidRPr="000F5206">
        <w:rPr>
          <w:rFonts w:ascii="Times New Roman" w:eastAsia="Times New Roman" w:hAnsi="Times New Roman" w:cs="Times New Roman"/>
          <w:color w:val="00000A"/>
          <w:highlight w:val="white"/>
        </w:rPr>
        <w:t>:</w:t>
      </w:r>
      <w:r w:rsidR="000F5206">
        <w:t xml:space="preserve"> </w:t>
      </w:r>
      <w:r w:rsidR="000F5206" w:rsidRPr="000F5206">
        <w:rPr>
          <w:rFonts w:ascii="Times New Roman" w:eastAsia="Times New Roman" w:hAnsi="Times New Roman" w:cs="Times New Roman"/>
          <w:color w:val="00000A"/>
        </w:rPr>
        <w:t>Ocenę celującą otrzymać może uczeń za wykonanie nieobowiązkowych, dodatkowych zadań, udział w innowacjach pedagogicznych lub za wykonanie zadania, którego poziom wykracza poza treści podstawy programowej określone dla II etapu kształcenia, za uczęszczanie na zajęcia pozalekcyjne i udzielanie</w:t>
      </w:r>
      <w:r w:rsidR="000F5206">
        <w:rPr>
          <w:rFonts w:ascii="Times New Roman" w:eastAsia="Times New Roman" w:hAnsi="Times New Roman" w:cs="Times New Roman"/>
          <w:color w:val="00000A"/>
        </w:rPr>
        <w:t xml:space="preserve"> się podczas nich. </w:t>
      </w:r>
      <w:r w:rsidR="000F5206" w:rsidRPr="000F5206">
        <w:rPr>
          <w:rFonts w:ascii="Times New Roman" w:eastAsia="Times New Roman" w:hAnsi="Times New Roman" w:cs="Times New Roman"/>
          <w:color w:val="00000A"/>
        </w:rPr>
        <w:t>Ocena celująca na koniec roku wystawiona może zostać laureatom i zwycięzcom konkursów przedmiotowych, którzy wykazali się wiedzą wykraczającą poza wiadomości zawarte w podstawie programowej dla II etapu kształcenia.</w:t>
      </w:r>
    </w:p>
    <w:p w:rsidR="009F23D4" w:rsidRDefault="00CA59A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  <w:t>Ocena bardzo dobra</w:t>
      </w:r>
      <w:r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:</w:t>
      </w:r>
    </w:p>
    <w:p w:rsidR="009F23D4" w:rsidRDefault="00CA59A2" w:rsidP="000F5206">
      <w:pPr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>Uczeń opanował pełny zakres wiadomości i umiejętności określony podstawą p</w:t>
      </w:r>
      <w:r w:rsidR="000F5206">
        <w:rPr>
          <w:rFonts w:ascii="Times New Roman" w:eastAsia="Times New Roman" w:hAnsi="Times New Roman" w:cs="Times New Roman"/>
          <w:color w:val="00000A"/>
          <w:highlight w:val="white"/>
        </w:rPr>
        <w:t>rogramową i programem nauczania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. Jego wypowiedzi </w:t>
      </w:r>
      <w:r w:rsidR="000F5206">
        <w:rPr>
          <w:rFonts w:ascii="Times New Roman" w:eastAsia="Times New Roman" w:hAnsi="Times New Roman" w:cs="Times New Roman"/>
          <w:color w:val="00000A"/>
          <w:highlight w:val="white"/>
        </w:rPr>
        <w:t xml:space="preserve">pisemne 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są ciekawe, wyczerpujące i bezbłędne pod względem </w:t>
      </w:r>
      <w:proofErr w:type="spellStart"/>
      <w:r>
        <w:rPr>
          <w:rFonts w:ascii="Times New Roman" w:eastAsia="Times New Roman" w:hAnsi="Times New Roman" w:cs="Times New Roman"/>
          <w:color w:val="00000A"/>
          <w:highlight w:val="white"/>
        </w:rPr>
        <w:t>stylistyczno</w:t>
      </w:r>
      <w:proofErr w:type="spellEnd"/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– językowym, ortograficznym i merytorycznym. A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>ktywnie uczestniczy w lekcjach ora</w:t>
      </w:r>
      <w:r w:rsidR="00580EE7">
        <w:rPr>
          <w:rFonts w:ascii="Times New Roman" w:eastAsia="Times New Roman" w:hAnsi="Times New Roman" w:cs="Times New Roman"/>
          <w:color w:val="00000A"/>
          <w:highlight w:val="white"/>
        </w:rPr>
        <w:t xml:space="preserve">z na platformie e-learningowej oraz </w:t>
      </w:r>
      <w:proofErr w:type="spellStart"/>
      <w:r w:rsidR="00580EE7">
        <w:rPr>
          <w:rFonts w:ascii="Times New Roman" w:eastAsia="Times New Roman" w:hAnsi="Times New Roman" w:cs="Times New Roman"/>
          <w:color w:val="00000A"/>
          <w:highlight w:val="white"/>
        </w:rPr>
        <w:t>Instalingu</w:t>
      </w:r>
      <w:proofErr w:type="spellEnd"/>
      <w:r w:rsidR="00580EE7">
        <w:rPr>
          <w:rFonts w:ascii="Times New Roman" w:eastAsia="Times New Roman" w:hAnsi="Times New Roman" w:cs="Times New Roman"/>
          <w:color w:val="00000A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starannie prowadzi zeszyt,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nie zalega z oddawaniem prac, projektów oraz dialogów, </w:t>
      </w:r>
      <w:r>
        <w:rPr>
          <w:rFonts w:ascii="Times New Roman" w:eastAsia="Times New Roman" w:hAnsi="Times New Roman" w:cs="Times New Roman"/>
          <w:color w:val="00000A"/>
          <w:highlight w:val="white"/>
        </w:rPr>
        <w:t>osiąga ze sprawdzianów, testów i dyktand min. 90 % punktów.</w:t>
      </w:r>
    </w:p>
    <w:p w:rsidR="009F23D4" w:rsidRDefault="00CA59A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  <w:t>Ocena dobra</w:t>
      </w:r>
      <w:r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:</w:t>
      </w:r>
    </w:p>
    <w:p w:rsidR="009F23D4" w:rsidRDefault="00CA59A2" w:rsidP="000F5206">
      <w:pPr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Uczeń opanował wiadomości i umiejętności przewidziane podstawą programową oraz wybrane elementy zawarte w programie nauczania. W miarę aktywnie uczestniczy w lekcjach. Potrafi </w:t>
      </w:r>
      <w:r w:rsidR="000F5206">
        <w:rPr>
          <w:rFonts w:ascii="Times New Roman" w:eastAsia="Times New Roman" w:hAnsi="Times New Roman" w:cs="Times New Roman"/>
          <w:color w:val="00000A"/>
          <w:highlight w:val="white"/>
        </w:rPr>
        <w:lastRenderedPageBreak/>
        <w:t xml:space="preserve">wypowiadać 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się pisemnie, choć zdarza mu się popełniać nieliczne błędy ortograficzne i </w:t>
      </w:r>
      <w:proofErr w:type="spellStart"/>
      <w:r>
        <w:rPr>
          <w:rFonts w:ascii="Times New Roman" w:eastAsia="Times New Roman" w:hAnsi="Times New Roman" w:cs="Times New Roman"/>
          <w:color w:val="00000A"/>
          <w:highlight w:val="white"/>
        </w:rPr>
        <w:t>stylistyczno</w:t>
      </w:r>
      <w:proofErr w:type="spellEnd"/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– językowe.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>Rozwiązuje zadania na platformie nie zawsze bezbłędnie</w:t>
      </w:r>
      <w:r w:rsidR="00580EE7">
        <w:rPr>
          <w:rFonts w:ascii="Times New Roman" w:eastAsia="Times New Roman" w:hAnsi="Times New Roman" w:cs="Times New Roman"/>
          <w:color w:val="00000A"/>
          <w:highlight w:val="white"/>
        </w:rPr>
        <w:t>, widać jego aktywność na Instalingu</w:t>
      </w:r>
      <w:bookmarkStart w:id="0" w:name="_GoBack"/>
      <w:bookmarkEnd w:id="0"/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. Dopuszcza się nieoddanie jednej pracy czy też projektu lub nie odegranie dialogu. </w:t>
      </w:r>
      <w:r>
        <w:rPr>
          <w:rFonts w:ascii="Times New Roman" w:eastAsia="Times New Roman" w:hAnsi="Times New Roman" w:cs="Times New Roman"/>
          <w:color w:val="00000A"/>
          <w:highlight w:val="white"/>
        </w:rPr>
        <w:t>Jego zeszyt jest prowadzony starannie. Ze sprawdzianów, testów i dyktand osiąga min. 70 % punktów.</w:t>
      </w:r>
    </w:p>
    <w:p w:rsidR="009F23D4" w:rsidRDefault="00CA59A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  <w:t>Ocena dostateczna</w:t>
      </w:r>
      <w:r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:</w:t>
      </w:r>
    </w:p>
    <w:p w:rsidR="009F23D4" w:rsidRDefault="00CA59A2" w:rsidP="008E7123">
      <w:pPr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Uczeń opanował wiadomości i umiejętności przewidziane w podstawie programowej. Podejmuje próby aktywnego uczestnictwa w lekcjach.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Rozróżnia formy wypowiedzi poznane na lekcjach lecz ma problem 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z zastosowaniem ich w praktyce. Popełnia błędy ortograficzne. Potrafi wypowiadać się pisemnie i ustnie, ale jego wypowiedzi są krótkie, ubogie pod względem słownictwa. Często popełnia błędy </w:t>
      </w:r>
      <w:proofErr w:type="spellStart"/>
      <w:r>
        <w:rPr>
          <w:rFonts w:ascii="Times New Roman" w:eastAsia="Times New Roman" w:hAnsi="Times New Roman" w:cs="Times New Roman"/>
          <w:color w:val="00000A"/>
          <w:highlight w:val="white"/>
        </w:rPr>
        <w:t>stylistyczno</w:t>
      </w:r>
      <w:proofErr w:type="spellEnd"/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– językowe.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Dopuszcza się nieoddanie 3 prac czy też projektów lub dialogów. Uczeń nie jest aktywny na platformie szkolnej, jednakże 50% zadań powinna być rozwiązanych. Uczeń często zapomina zeszytu oraz innych potrzebnych materiałów. </w:t>
      </w:r>
      <w:r>
        <w:rPr>
          <w:rFonts w:ascii="Times New Roman" w:eastAsia="Times New Roman" w:hAnsi="Times New Roman" w:cs="Times New Roman"/>
          <w:color w:val="00000A"/>
          <w:highlight w:val="white"/>
        </w:rPr>
        <w:t>Ze sprawdzianów, testów i dyktand osiąga min. 50 % punktów.</w:t>
      </w:r>
    </w:p>
    <w:p w:rsidR="009F23D4" w:rsidRDefault="00CA59A2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 w:rsidRPr="00926C61">
        <w:rPr>
          <w:rFonts w:ascii="Times New Roman" w:eastAsia="Times New Roman" w:hAnsi="Times New Roman" w:cs="Times New Roman"/>
          <w:b/>
          <w:color w:val="00000A"/>
          <w:highlight w:val="white"/>
          <w:u w:val="single"/>
        </w:rPr>
        <w:t>Ocena dopuszczająca</w:t>
      </w:r>
      <w:r>
        <w:rPr>
          <w:rFonts w:ascii="Times New Roman" w:eastAsia="Times New Roman" w:hAnsi="Times New Roman" w:cs="Times New Roman"/>
          <w:color w:val="00000A"/>
          <w:highlight w:val="white"/>
          <w:u w:val="single"/>
        </w:rPr>
        <w:t>:</w:t>
      </w:r>
    </w:p>
    <w:p w:rsidR="009F23D4" w:rsidRDefault="00CA59A2" w:rsidP="008E7123">
      <w:pPr>
        <w:spacing w:line="360" w:lineRule="exact"/>
      </w:pP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Uczeń samodzielnie lub przy pomocy nauczyciela wykonuje zadania o niewielkim stopniu trudności wynikające z podstawy programowej. Udziela odpowiedzi przy pomocy pytań pomocniczych nauczyciela. W wypowiedziach ustnych i pisemnych popełnia błędy stylistyczne, językowe, logiczne, które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sprawiają, że tekst jest niezrozumiały. 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 Prowadzi zeszyt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 niedbale</w:t>
      </w:r>
      <w:r>
        <w:rPr>
          <w:rFonts w:ascii="Times New Roman" w:eastAsia="Times New Roman" w:hAnsi="Times New Roman" w:cs="Times New Roman"/>
          <w:color w:val="00000A"/>
          <w:highlight w:val="white"/>
        </w:rPr>
        <w:t xml:space="preserve">, odrabia </w:t>
      </w:r>
      <w:r w:rsidR="008E7123">
        <w:rPr>
          <w:rFonts w:ascii="Times New Roman" w:eastAsia="Times New Roman" w:hAnsi="Times New Roman" w:cs="Times New Roman"/>
          <w:color w:val="00000A"/>
          <w:highlight w:val="white"/>
        </w:rPr>
        <w:t xml:space="preserve">tylko część prac domowych, projektów. </w:t>
      </w:r>
      <w:r>
        <w:rPr>
          <w:rFonts w:ascii="Times New Roman" w:eastAsia="Times New Roman" w:hAnsi="Times New Roman" w:cs="Times New Roman"/>
          <w:color w:val="00000A"/>
          <w:highlight w:val="white"/>
        </w:rPr>
        <w:t>Nie odgrywa dialogów. Unika zadań na platformie i nie jest zbytnio aktywny podczas zajęć. Ze sprawdzianów, testów i dyktand osiąga min. 30 % punktów.</w:t>
      </w:r>
    </w:p>
    <w:sectPr w:rsidR="009F23D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DCB0024"/>
    <w:multiLevelType w:val="hybridMultilevel"/>
    <w:tmpl w:val="4C04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5C2"/>
    <w:rsid w:val="000B3E56"/>
    <w:rsid w:val="000B5F0B"/>
    <w:rsid w:val="000F5206"/>
    <w:rsid w:val="00390358"/>
    <w:rsid w:val="00580EE7"/>
    <w:rsid w:val="008E7123"/>
    <w:rsid w:val="00926C61"/>
    <w:rsid w:val="009F23D4"/>
    <w:rsid w:val="00A115C2"/>
    <w:rsid w:val="00CA59A2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FF9DAC-6FC2-4819-8486-54921C51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ascii="Times New Roman" w:hAnsi="Times New Roman" w:cs="Symbol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1899-12-31T22:00:00Z</cp:lastPrinted>
  <dcterms:created xsi:type="dcterms:W3CDTF">2017-06-09T13:56:00Z</dcterms:created>
  <dcterms:modified xsi:type="dcterms:W3CDTF">2017-10-02T04:08:00Z</dcterms:modified>
</cp:coreProperties>
</file>